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B99B8E9" w:rsidR="007C2FEE" w:rsidRPr="008059E0" w:rsidRDefault="004E54DB" w:rsidP="007C2FEE">
      <w:pPr>
        <w:pStyle w:val="Head"/>
      </w:pPr>
      <w:proofErr w:type="spellStart"/>
      <w:r>
        <w:rPr>
          <w:lang w:val="fr-FR"/>
        </w:rPr>
        <w:t>Vögele</w:t>
      </w:r>
      <w:proofErr w:type="spellEnd"/>
      <w:r>
        <w:rPr>
          <w:lang w:val="fr-FR"/>
        </w:rPr>
        <w:t xml:space="preserve"> │ Le finisseur « Tiret 5 » rénove la route en lacets menant aux ruines du plus haut château fort d'Allemagne </w:t>
      </w:r>
    </w:p>
    <w:p w14:paraId="34A89D42" w14:textId="5CC1A57C" w:rsidR="007C2FEE" w:rsidRPr="008059E0" w:rsidRDefault="0084553B" w:rsidP="007C2FEE">
      <w:pPr>
        <w:pStyle w:val="Subhead"/>
      </w:pPr>
      <w:r>
        <w:rPr>
          <w:bCs/>
          <w:iCs w:val="0"/>
          <w:lang w:val="fr-FR"/>
        </w:rPr>
        <w:t xml:space="preserve">Réfection exigeante de la chaussée à l’aide du SUPER 1800-5 X </w:t>
      </w:r>
    </w:p>
    <w:p w14:paraId="43A5AB78" w14:textId="7C4F473F" w:rsidR="007C2FEE" w:rsidRPr="008059E0" w:rsidRDefault="004E41C6" w:rsidP="007C2FEE">
      <w:pPr>
        <w:pStyle w:val="Teaser"/>
        <w:rPr>
          <w:color w:val="000000" w:themeColor="text1"/>
        </w:rPr>
      </w:pPr>
      <w:r>
        <w:rPr>
          <w:bCs/>
          <w:color w:val="000000" w:themeColor="text1"/>
          <w:lang w:val="fr-FR"/>
        </w:rPr>
        <w:t xml:space="preserve">Des virages en épingle à cheveux serrés, des montées raides et des passages étroits caractérisent la voie d'accès aux ruines du château de </w:t>
      </w:r>
      <w:proofErr w:type="spellStart"/>
      <w:r>
        <w:rPr>
          <w:bCs/>
          <w:color w:val="000000" w:themeColor="text1"/>
          <w:lang w:val="fr-FR"/>
        </w:rPr>
        <w:t>Falkenstein</w:t>
      </w:r>
      <w:proofErr w:type="spellEnd"/>
      <w:r>
        <w:rPr>
          <w:bCs/>
          <w:color w:val="000000" w:themeColor="text1"/>
          <w:lang w:val="fr-FR"/>
        </w:rPr>
        <w:t xml:space="preserve">, situé à 1 277 m d'altitude, et à un hôtel avec restaurant gastronomique situé en contrebas. C'est ici que le nouveau finisseur de routes SUPER 1800-5 X de </w:t>
      </w:r>
      <w:proofErr w:type="spellStart"/>
      <w:r>
        <w:rPr>
          <w:bCs/>
          <w:color w:val="000000" w:themeColor="text1"/>
          <w:lang w:val="fr-FR"/>
        </w:rPr>
        <w:t>Vögele</w:t>
      </w:r>
      <w:proofErr w:type="spellEnd"/>
      <w:r>
        <w:rPr>
          <w:bCs/>
          <w:color w:val="000000" w:themeColor="text1"/>
          <w:lang w:val="fr-FR"/>
        </w:rPr>
        <w:t xml:space="preserve"> démontre pourquoi il est le choix idéal pour les travaux de pose difficiles. </w:t>
      </w:r>
    </w:p>
    <w:p w14:paraId="45AFE0CD" w14:textId="26AD7AC0" w:rsidR="007C2FEE" w:rsidRPr="008059E0" w:rsidRDefault="00A44AFE" w:rsidP="008D26D8">
      <w:pPr>
        <w:pStyle w:val="Absatzberschrift"/>
      </w:pPr>
      <w:r>
        <w:rPr>
          <w:bCs/>
          <w:lang w:val="fr-FR"/>
        </w:rPr>
        <w:t xml:space="preserve">Un chantier présentant de nombreux défis </w:t>
      </w:r>
    </w:p>
    <w:p w14:paraId="074FF9E2" w14:textId="3B0AA557" w:rsidR="007C2FEE" w:rsidRPr="00582BCD" w:rsidRDefault="00721BE3" w:rsidP="007C2FEE">
      <w:pPr>
        <w:pStyle w:val="Standardabsatz"/>
      </w:pPr>
      <w:r>
        <w:rPr>
          <w:lang w:val="fr-FR"/>
        </w:rPr>
        <w:t>La route menant aux ruines du château, longue d'un peu plus de 2</w:t>
      </w:r>
      <w:r>
        <w:rPr>
          <w:color w:val="000000" w:themeColor="text1"/>
          <w:lang w:val="fr-FR"/>
        </w:rPr>
        <w:t> </w:t>
      </w:r>
      <w:r>
        <w:rPr>
          <w:lang w:val="fr-FR"/>
        </w:rPr>
        <w:t>km, ne mesure que 3</w:t>
      </w:r>
      <w:r>
        <w:rPr>
          <w:color w:val="000000" w:themeColor="text1"/>
          <w:lang w:val="fr-FR"/>
        </w:rPr>
        <w:t> </w:t>
      </w:r>
      <w:r>
        <w:rPr>
          <w:lang w:val="fr-FR"/>
        </w:rPr>
        <w:t xml:space="preserve">m de large par endroits et est déjà vieillissante. Elle est cahoteuse et présente de profonds nids-de-poule. « Le chantier comporte de nombreux défis. Nous sommes confrontés à une forte pente et à des virages très serrés. C'est un défi pour la pose et la logistique », explique Sascha </w:t>
      </w:r>
      <w:proofErr w:type="spellStart"/>
      <w:r>
        <w:rPr>
          <w:lang w:val="fr-FR"/>
        </w:rPr>
        <w:t>Böck</w:t>
      </w:r>
      <w:proofErr w:type="spellEnd"/>
      <w:r>
        <w:rPr>
          <w:lang w:val="fr-FR"/>
        </w:rPr>
        <w:t xml:space="preserve">, directeur général de la société Josef </w:t>
      </w:r>
      <w:proofErr w:type="spellStart"/>
      <w:r>
        <w:rPr>
          <w:lang w:val="fr-FR"/>
        </w:rPr>
        <w:t>Böck</w:t>
      </w:r>
      <w:proofErr w:type="spellEnd"/>
      <w:r>
        <w:rPr>
          <w:lang w:val="fr-FR"/>
        </w:rPr>
        <w:t xml:space="preserve"> </w:t>
      </w:r>
      <w:proofErr w:type="spellStart"/>
      <w:r>
        <w:rPr>
          <w:lang w:val="fr-FR"/>
        </w:rPr>
        <w:t>GmbH</w:t>
      </w:r>
      <w:proofErr w:type="spellEnd"/>
      <w:r>
        <w:rPr>
          <w:lang w:val="fr-FR"/>
        </w:rPr>
        <w:t xml:space="preserve"> chargée des travaux. Il a planifié l'intervention avec minutie en amont. En raison des virages en épingle à cheveux, seuls des camions à trois essieux peuvent intervenir pour l’alimentation en matériaux. À cela s'ajoute le fait que le tronçon à parcourir ne dispose que d'un nombre limité d'aires de dépassement. Les camions doivent reculer sur de longues distances. Pour garantir une exécution de haute qualité, il est également essentiel de disposer d'un finisseur de routes flexible et facile à utiliser.</w:t>
      </w:r>
    </w:p>
    <w:p w14:paraId="7EDAAED3" w14:textId="313FF3F5" w:rsidR="009303F0" w:rsidRPr="008059E0" w:rsidRDefault="009303F0" w:rsidP="009303F0">
      <w:pPr>
        <w:pStyle w:val="Absatzberschrift"/>
      </w:pPr>
      <w:r>
        <w:rPr>
          <w:bCs/>
          <w:lang w:val="fr-FR"/>
        </w:rPr>
        <w:t>SUPER 1800-5 X : Compact, puissant et précis dans sa direction</w:t>
      </w:r>
    </w:p>
    <w:p w14:paraId="74F6A4A4" w14:textId="7A80771A" w:rsidR="007C2FEE" w:rsidRDefault="00B96C08" w:rsidP="007C2FEE">
      <w:pPr>
        <w:pStyle w:val="Standardabsatz"/>
        <w:rPr>
          <w:color w:val="000000" w:themeColor="text1"/>
          <w:lang w:val="fr-FR"/>
        </w:rPr>
      </w:pPr>
      <w:r>
        <w:rPr>
          <w:color w:val="000000" w:themeColor="text1"/>
          <w:lang w:val="fr-FR"/>
        </w:rPr>
        <w:t xml:space="preserve">Le finisseur de routes SUPER 1800-5 X de </w:t>
      </w:r>
      <w:proofErr w:type="spellStart"/>
      <w:r>
        <w:rPr>
          <w:color w:val="000000" w:themeColor="text1"/>
          <w:lang w:val="fr-FR"/>
        </w:rPr>
        <w:t>Vögele</w:t>
      </w:r>
      <w:proofErr w:type="spellEnd"/>
      <w:r>
        <w:rPr>
          <w:color w:val="000000" w:themeColor="text1"/>
          <w:lang w:val="fr-FR"/>
        </w:rPr>
        <w:t xml:space="preserve"> utilisé à </w:t>
      </w:r>
      <w:proofErr w:type="spellStart"/>
      <w:r>
        <w:rPr>
          <w:color w:val="000000" w:themeColor="text1"/>
          <w:lang w:val="fr-FR"/>
        </w:rPr>
        <w:t>Falkenstein</w:t>
      </w:r>
      <w:proofErr w:type="spellEnd"/>
      <w:r>
        <w:rPr>
          <w:color w:val="000000" w:themeColor="text1"/>
          <w:lang w:val="fr-FR"/>
        </w:rPr>
        <w:t>, d'une longueur de 6,15 m, est relativement compact pour son rendement élevé. Il offre en outre une traction élevée et une direction précise, ce qui est un avantage pour l'équipe de pose compte tenu de l'espace restreint : d'</w:t>
      </w:r>
      <w:r>
        <w:rPr>
          <w:lang w:val="fr-FR"/>
        </w:rPr>
        <w:t xml:space="preserve">un côté la montagne, de l'autre le versant escarpé. Ici, il est nécessaire de diriger le finisseur au millimètre près afin de ne heurter aucun obstacle sur cette route étroite. « Cela fonctionne très bien avec le nouveau finisseur « Tiret 5 ». Grâce à une vue d'ensemble optimale, à une direction précise via </w:t>
      </w:r>
      <w:proofErr w:type="spellStart"/>
      <w:r>
        <w:rPr>
          <w:lang w:val="fr-FR"/>
        </w:rPr>
        <w:t>SmartWheel</w:t>
      </w:r>
      <w:proofErr w:type="spellEnd"/>
      <w:r>
        <w:rPr>
          <w:lang w:val="fr-FR"/>
        </w:rPr>
        <w:t xml:space="preserve"> et à un réglage exact de la largeur de la table, la pose d'enrobé est possible dans ces virages difficiles. Le finisseur tient parfaitement la trajectoire et nous obtenons un résultat uniforme, ce qui n'est pas évident compte tenu du mauvais état de la chaussée et des épaisseurs de pose variables. La lame de pression de la table de finisseur est très utile pour obtenir un </w:t>
      </w:r>
      <w:proofErr w:type="spellStart"/>
      <w:r>
        <w:rPr>
          <w:lang w:val="fr-FR"/>
        </w:rPr>
        <w:t>précompactage</w:t>
      </w:r>
      <w:proofErr w:type="spellEnd"/>
      <w:r>
        <w:rPr>
          <w:lang w:val="fr-FR"/>
        </w:rPr>
        <w:t xml:space="preserve"> élevé », remarque Sascha </w:t>
      </w:r>
      <w:proofErr w:type="spellStart"/>
      <w:r>
        <w:rPr>
          <w:lang w:val="fr-FR"/>
        </w:rPr>
        <w:t>Böck</w:t>
      </w:r>
      <w:proofErr w:type="spellEnd"/>
      <w:r>
        <w:rPr>
          <w:lang w:val="fr-FR"/>
        </w:rPr>
        <w:t xml:space="preserve"> après les 500</w:t>
      </w:r>
      <w:r>
        <w:rPr>
          <w:color w:val="000000" w:themeColor="text1"/>
          <w:lang w:val="fr-FR"/>
        </w:rPr>
        <w:t> </w:t>
      </w:r>
      <w:r>
        <w:rPr>
          <w:lang w:val="fr-FR"/>
        </w:rPr>
        <w:t xml:space="preserve">premiers mètres linéaires de pose d'enrobé avec le nouveau finisseur. </w:t>
      </w:r>
      <w:r>
        <w:rPr>
          <w:color w:val="000000" w:themeColor="text1"/>
          <w:lang w:val="fr-FR"/>
        </w:rPr>
        <w:t xml:space="preserve">La table (de pose) extensible AB 500 TP1 peut être réglée hydrauliquement de 2,55 m à 5,00 m. Grâce à l'ajout de rallonges mécaniques fixes, il est possible d'atteindre une largeur maximale de 8,75 m. </w:t>
      </w:r>
    </w:p>
    <w:p w14:paraId="2D6623CC" w14:textId="42780C9F" w:rsidR="00910F38" w:rsidRDefault="00910F38">
      <w:pPr>
        <w:rPr>
          <w:rFonts w:eastAsiaTheme="minorHAnsi" w:cstheme="minorBidi"/>
          <w:color w:val="000000" w:themeColor="text1"/>
          <w:sz w:val="22"/>
          <w:szCs w:val="24"/>
          <w:lang w:val="fr-FR"/>
        </w:rPr>
      </w:pPr>
      <w:r>
        <w:rPr>
          <w:color w:val="000000" w:themeColor="text1"/>
          <w:lang w:val="fr-FR"/>
        </w:rPr>
        <w:br w:type="page"/>
      </w:r>
    </w:p>
    <w:p w14:paraId="35171BA5" w14:textId="65D5832E" w:rsidR="007C2FEE" w:rsidRPr="008059E0" w:rsidRDefault="00F24F21" w:rsidP="00BC1961">
      <w:pPr>
        <w:pStyle w:val="Teaserhead"/>
        <w:jc w:val="left"/>
      </w:pPr>
      <w:r>
        <w:rPr>
          <w:bCs/>
          <w:lang w:val="fr-FR"/>
        </w:rPr>
        <w:lastRenderedPageBreak/>
        <w:t>Concept de commande perfectionné très utile</w:t>
      </w:r>
    </w:p>
    <w:p w14:paraId="528C4A5A" w14:textId="30272278" w:rsidR="007C2FEE" w:rsidRPr="008059E0" w:rsidRDefault="002C0F6D" w:rsidP="007C2FEE">
      <w:pPr>
        <w:pStyle w:val="Standardabsatz"/>
      </w:pPr>
      <w:r>
        <w:rPr>
          <w:lang w:val="fr-FR"/>
        </w:rPr>
        <w:t xml:space="preserve">Tatjana </w:t>
      </w:r>
      <w:proofErr w:type="spellStart"/>
      <w:r>
        <w:rPr>
          <w:lang w:val="fr-FR"/>
        </w:rPr>
        <w:t>Drexler</w:t>
      </w:r>
      <w:proofErr w:type="spellEnd"/>
      <w:r>
        <w:rPr>
          <w:lang w:val="fr-FR"/>
        </w:rPr>
        <w:t xml:space="preserve"> pilote le SUPER 1800-5</w:t>
      </w:r>
      <w:r>
        <w:rPr>
          <w:color w:val="000000" w:themeColor="text1"/>
          <w:lang w:val="fr-FR"/>
        </w:rPr>
        <w:t> </w:t>
      </w:r>
      <w:r>
        <w:rPr>
          <w:lang w:val="fr-FR"/>
        </w:rPr>
        <w:t xml:space="preserve">X le long des parois abruptes et de la pente escarpée. Il y a cinq ans encore, elle travaillait dans la restauration dans un refuge de ski et cherchait une nouvelle activité intéressante pour l'été. À l'époque, elle n'aurait jamais imaginé qu'elle conduirait un jour un finisseur de routes. « Aujourd'hui, c'est le métier de mes rêves », dit-elle pour décrire son choix de carrière. Elle n'a toujours conduit que des finisseurs de routes </w:t>
      </w:r>
      <w:proofErr w:type="spellStart"/>
      <w:r>
        <w:rPr>
          <w:lang w:val="fr-FR"/>
        </w:rPr>
        <w:t>Vögele</w:t>
      </w:r>
      <w:proofErr w:type="spellEnd"/>
      <w:r>
        <w:rPr>
          <w:lang w:val="fr-FR"/>
        </w:rPr>
        <w:t xml:space="preserve"> et ne souhaiterait pas changer. « Pourquoi le ferais-je, alors que je conduis déjà la meilleure machine qui soit », avoue-t-elle en souriant. Elle adore conduire de grosses machines en toute sécurité, même dans des conditions difficiles, tout en gardant un œil sur ses collègues à la table de finisseur et sur l'ensemble de l’aire de travail. Le concept de commande perfectionné </w:t>
      </w:r>
      <w:proofErr w:type="spellStart"/>
      <w:r>
        <w:rPr>
          <w:lang w:val="fr-FR"/>
        </w:rPr>
        <w:t>ErgoPlus</w:t>
      </w:r>
      <w:proofErr w:type="spellEnd"/>
      <w:r>
        <w:rPr>
          <w:color w:val="000000" w:themeColor="text1"/>
          <w:lang w:val="fr-FR"/>
        </w:rPr>
        <w:t> </w:t>
      </w:r>
      <w:r>
        <w:rPr>
          <w:lang w:val="fr-FR"/>
        </w:rPr>
        <w:t xml:space="preserve">5 lui est très utile à cet égard. Même s'il faut toujours s'habituer à l'une ou l'autre nouveauté sur une nouvelle machine, la logique de commande étant très similaire à celle du modèle précédent, elle a pu s'habituer très rapidement au nouveau finisseur. La commande est encore plus simple et plus claire. Le </w:t>
      </w:r>
      <w:proofErr w:type="spellStart"/>
      <w:r>
        <w:rPr>
          <w:lang w:val="fr-FR"/>
        </w:rPr>
        <w:t>SmartWheel</w:t>
      </w:r>
      <w:proofErr w:type="spellEnd"/>
      <w:r>
        <w:rPr>
          <w:lang w:val="fr-FR"/>
        </w:rPr>
        <w:t xml:space="preserve"> permet une direction très précise et le nouvel écran tactile offre de nombreuses options supplémentaires. « Sur le plan technique comme sur le plan esthétique, on voit que la machine a été sensiblement améliorée », dit-elle à propos du nouveau finisseur de routes. </w:t>
      </w:r>
    </w:p>
    <w:p w14:paraId="387D3575" w14:textId="77777777" w:rsidR="00124036" w:rsidRPr="008059E0" w:rsidRDefault="00124036" w:rsidP="00124036">
      <w:pPr>
        <w:pStyle w:val="Absatzberschrift"/>
      </w:pPr>
      <w:r>
        <w:rPr>
          <w:bCs/>
          <w:lang w:val="fr-FR"/>
        </w:rPr>
        <w:t>Compactage sur une pente de plus de 30 %</w:t>
      </w:r>
    </w:p>
    <w:p w14:paraId="2CFCCB14" w14:textId="7413D830" w:rsidR="00B314D8" w:rsidRPr="00582BCD" w:rsidRDefault="00124036">
      <w:pPr>
        <w:pStyle w:val="Standardabsatz"/>
      </w:pPr>
      <w:r>
        <w:rPr>
          <w:lang w:val="fr-FR"/>
        </w:rPr>
        <w:t>Pour le compactage final, l'équipe utilise un rouleau oscillant HD</w:t>
      </w:r>
      <w:r>
        <w:rPr>
          <w:color w:val="000000" w:themeColor="text1"/>
          <w:lang w:val="fr-FR"/>
        </w:rPr>
        <w:t> </w:t>
      </w:r>
      <w:r>
        <w:rPr>
          <w:lang w:val="fr-FR"/>
        </w:rPr>
        <w:t>13</w:t>
      </w:r>
      <w:r>
        <w:rPr>
          <w:color w:val="000000" w:themeColor="text1"/>
          <w:lang w:val="fr-FR"/>
        </w:rPr>
        <w:t> </w:t>
      </w:r>
      <w:r>
        <w:rPr>
          <w:lang w:val="fr-FR"/>
        </w:rPr>
        <w:t>VO et un HD</w:t>
      </w:r>
      <w:r>
        <w:rPr>
          <w:color w:val="000000" w:themeColor="text1"/>
          <w:lang w:val="fr-FR"/>
        </w:rPr>
        <w:t> </w:t>
      </w:r>
      <w:r>
        <w:rPr>
          <w:lang w:val="fr-FR"/>
        </w:rPr>
        <w:t>10</w:t>
      </w:r>
      <w:r>
        <w:rPr>
          <w:color w:val="000000" w:themeColor="text1"/>
          <w:lang w:val="fr-FR"/>
        </w:rPr>
        <w:t> </w:t>
      </w:r>
      <w:r>
        <w:rPr>
          <w:lang w:val="fr-FR"/>
        </w:rPr>
        <w:t>VT de Hamm. La pente du tronçon, qui dépasse parfois 30</w:t>
      </w:r>
      <w:r>
        <w:rPr>
          <w:color w:val="000000" w:themeColor="text1"/>
          <w:lang w:val="fr-FR"/>
        </w:rPr>
        <w:t> </w:t>
      </w:r>
      <w:r>
        <w:rPr>
          <w:lang w:val="fr-FR"/>
        </w:rPr>
        <w:t>%, associée aux virages en épingle à cheveux serrés, impose des exigences élevées au conducteur et aux capacités des tambours de fraisage. Il faut les conduire avec beaucoup de doigté pour ne pas déplacer le matériau mélangé, l'abîmer ou faire déraper le tambour de fraisage. C'est précisément là que l'articulation 3 points des tambours de fraisage Hamm s'avère une fois de plus être une caractéristique précieuse.</w:t>
      </w:r>
    </w:p>
    <w:p w14:paraId="74714696" w14:textId="126497B0" w:rsidR="00AD5388" w:rsidRPr="00582BCD" w:rsidRDefault="001936B4" w:rsidP="00582BCD">
      <w:pPr>
        <w:pStyle w:val="Absatzberschrift"/>
      </w:pPr>
      <w:r>
        <w:rPr>
          <w:bCs/>
          <w:lang w:val="fr-FR"/>
        </w:rPr>
        <w:t xml:space="preserve">Succès du lancement du nouveau SUPER 1800-5 X </w:t>
      </w:r>
    </w:p>
    <w:p w14:paraId="38ADE001" w14:textId="546847A6" w:rsidR="00AD5388" w:rsidRDefault="00AD5388" w:rsidP="00643E67">
      <w:pPr>
        <w:pStyle w:val="Standardabsatz"/>
        <w:rPr>
          <w:color w:val="000000" w:themeColor="text1"/>
        </w:rPr>
      </w:pPr>
      <w:r>
        <w:rPr>
          <w:color w:val="000000" w:themeColor="text1"/>
          <w:lang w:val="fr-FR"/>
        </w:rPr>
        <w:t xml:space="preserve">Après quelques jours, le restaurant gastronomique le plus haut d'Allemagne, les ruines du château le plus haut et l'hôtel situé en contrebas sont à nouveau facilement accessibles. L'utilisation du finisseur de routes SUPER 1800-5 X de </w:t>
      </w:r>
      <w:proofErr w:type="spellStart"/>
      <w:r>
        <w:rPr>
          <w:color w:val="000000" w:themeColor="text1"/>
          <w:lang w:val="fr-FR"/>
        </w:rPr>
        <w:t>Vögele</w:t>
      </w:r>
      <w:proofErr w:type="spellEnd"/>
      <w:r>
        <w:rPr>
          <w:color w:val="000000" w:themeColor="text1"/>
          <w:lang w:val="fr-FR"/>
        </w:rPr>
        <w:t xml:space="preserve"> avec la table (de pose) extensible AB 500 TP1 a largement contribué à ce résultat. </w:t>
      </w:r>
    </w:p>
    <w:p w14:paraId="64ABE9B9" w14:textId="57CE0D8E" w:rsidR="001631DB" w:rsidRPr="00582BCD" w:rsidRDefault="001631DB" w:rsidP="00643E67">
      <w:pPr>
        <w:pStyle w:val="Standardabsatz"/>
        <w:rPr>
          <w:color w:val="000000" w:themeColor="text1"/>
        </w:rPr>
      </w:pPr>
      <w:r>
        <w:rPr>
          <w:color w:val="000000" w:themeColor="text1"/>
          <w:lang w:val="fr-FR"/>
        </w:rPr>
        <w:t>Après quelques jours, le restaurant gastronomique le plus haut d'Allemagne, les ruines du château le plus haut et l'hôtel situé en contrebas sont à nouveau facilement accessibles.</w:t>
      </w:r>
    </w:p>
    <w:p w14:paraId="53B6AD61" w14:textId="77777777" w:rsidR="00C128E5" w:rsidRPr="00582BCD" w:rsidRDefault="00C128E5" w:rsidP="007C2FEE">
      <w:pPr>
        <w:pStyle w:val="Standardabsatz"/>
      </w:pPr>
    </w:p>
    <w:p w14:paraId="6099D8D3" w14:textId="79ACD705" w:rsidR="00C128E5" w:rsidRPr="008059E0" w:rsidRDefault="00C128E5" w:rsidP="008059E0">
      <w:r>
        <w:rPr>
          <w:lang w:val="fr-FR"/>
        </w:rPr>
        <w:br w:type="page"/>
      </w:r>
    </w:p>
    <w:p w14:paraId="64ABBB85" w14:textId="024AAF51" w:rsidR="007C2FEE" w:rsidRPr="008059E0" w:rsidRDefault="007C2FEE" w:rsidP="00BC487A">
      <w:pPr>
        <w:rPr>
          <w:b/>
          <w:bCs/>
          <w:sz w:val="22"/>
          <w:szCs w:val="22"/>
        </w:rPr>
      </w:pPr>
      <w:r>
        <w:rPr>
          <w:b/>
          <w:bCs/>
          <w:sz w:val="22"/>
          <w:szCs w:val="22"/>
          <w:lang w:val="fr-FR"/>
        </w:rPr>
        <w:lastRenderedPageBreak/>
        <w:t>Photos :</w:t>
      </w:r>
    </w:p>
    <w:p w14:paraId="3936719A" w14:textId="77777777" w:rsidR="00544E74" w:rsidRPr="008059E0" w:rsidRDefault="00544E74" w:rsidP="00BC487A">
      <w:pPr>
        <w:rPr>
          <w:b/>
          <w:bCs/>
          <w:sz w:val="22"/>
          <w:szCs w:val="22"/>
        </w:rPr>
      </w:pPr>
    </w:p>
    <w:p w14:paraId="4405BF63" w14:textId="00186AD3" w:rsidR="00544E74" w:rsidRPr="008059E0" w:rsidRDefault="00544E74" w:rsidP="008059E0">
      <w:pPr>
        <w:pStyle w:val="BUbold"/>
        <w:rPr>
          <w:b w:val="0"/>
          <w:bCs/>
          <w:szCs w:val="20"/>
        </w:rPr>
      </w:pPr>
      <w:r>
        <w:rPr>
          <w:bCs/>
          <w:noProof/>
          <w:szCs w:val="20"/>
          <w:lang w:val="fr-FR"/>
        </w:rPr>
        <w:drawing>
          <wp:inline distT="0" distB="0" distL="0" distR="0" wp14:anchorId="64651EF8" wp14:editId="65F9F4DC">
            <wp:extent cx="2057400" cy="1371095"/>
            <wp:effectExtent l="0" t="0" r="0" b="635"/>
            <wp:docPr id="510057592" name="Grafik 1" descr="Une image contenant un paysage, l'extérieur, des nuages, une chaîne de montagnes.&#10;&#10;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057592" name="Grafik 1" descr="Ein Bild, das Landschaft, draußen, Wolke, Gebirgsz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69719" cy="1379305"/>
                    </a:xfrm>
                    <a:prstGeom prst="rect">
                      <a:avLst/>
                    </a:prstGeom>
                    <a:noFill/>
                    <a:ln>
                      <a:noFill/>
                    </a:ln>
                  </pic:spPr>
                </pic:pic>
              </a:graphicData>
            </a:graphic>
          </wp:inline>
        </w:drawing>
      </w:r>
    </w:p>
    <w:p w14:paraId="36767BF9" w14:textId="0B26A319" w:rsidR="00544E74" w:rsidRPr="004F7A7E" w:rsidRDefault="002E7812" w:rsidP="00544E74">
      <w:pPr>
        <w:pStyle w:val="BUbold"/>
        <w:rPr>
          <w:bCs/>
          <w:szCs w:val="20"/>
        </w:rPr>
      </w:pPr>
      <w:r>
        <w:rPr>
          <w:bCs/>
          <w:szCs w:val="20"/>
          <w:lang w:val="fr-FR"/>
        </w:rPr>
        <w:t>JV_photo_Falkenstein_SUPER_1800-5_X_PR_001</w:t>
      </w:r>
    </w:p>
    <w:p w14:paraId="06345839" w14:textId="2C4B2140" w:rsidR="00BC487A" w:rsidRPr="00910F38" w:rsidRDefault="00544E74" w:rsidP="00910F38">
      <w:pPr>
        <w:pStyle w:val="BUbold"/>
        <w:rPr>
          <w:bCs/>
          <w:szCs w:val="20"/>
        </w:rPr>
      </w:pPr>
      <w:r>
        <w:rPr>
          <w:b w:val="0"/>
          <w:lang w:val="fr-FR"/>
        </w:rPr>
        <w:t>Dans l'</w:t>
      </w:r>
      <w:proofErr w:type="spellStart"/>
      <w:r>
        <w:rPr>
          <w:b w:val="0"/>
          <w:lang w:val="fr-FR"/>
        </w:rPr>
        <w:t>Allgäu</w:t>
      </w:r>
      <w:proofErr w:type="spellEnd"/>
      <w:r>
        <w:rPr>
          <w:b w:val="0"/>
          <w:lang w:val="fr-FR"/>
        </w:rPr>
        <w:t xml:space="preserve">, la route sinueuse menant aux ruines du château de </w:t>
      </w:r>
      <w:proofErr w:type="spellStart"/>
      <w:r>
        <w:rPr>
          <w:b w:val="0"/>
          <w:lang w:val="fr-FR"/>
        </w:rPr>
        <w:t>Falkenstein</w:t>
      </w:r>
      <w:proofErr w:type="spellEnd"/>
      <w:r>
        <w:rPr>
          <w:b w:val="0"/>
          <w:lang w:val="fr-FR"/>
        </w:rPr>
        <w:t>, le plus haut d'Allemagne, a été rénovée avec succès à l'aide de trois machines Wirtgen Group.</w:t>
      </w:r>
    </w:p>
    <w:p w14:paraId="594765EC" w14:textId="77777777" w:rsidR="00910F38" w:rsidRPr="00910F38" w:rsidRDefault="00910F38" w:rsidP="00910F38">
      <w:pPr>
        <w:rPr>
          <w:rFonts w:eastAsiaTheme="minorHAnsi" w:cstheme="minorBidi"/>
          <w:b/>
          <w:sz w:val="22"/>
          <w:szCs w:val="24"/>
        </w:rPr>
      </w:pPr>
    </w:p>
    <w:p w14:paraId="5BFBF390" w14:textId="644BAA88" w:rsidR="007C2FEE" w:rsidRPr="004F7A7E" w:rsidRDefault="00EE22FB" w:rsidP="00BA7BC5">
      <w:pPr>
        <w:pStyle w:val="BUbold"/>
        <w:rPr>
          <w:bCs/>
          <w:szCs w:val="20"/>
        </w:rPr>
      </w:pPr>
      <w:r>
        <w:rPr>
          <w:b w:val="0"/>
          <w:noProof/>
          <w:sz w:val="22"/>
          <w:szCs w:val="22"/>
          <w:lang w:val="fr-FR"/>
        </w:rPr>
        <w:drawing>
          <wp:inline distT="0" distB="0" distL="0" distR="0" wp14:anchorId="58414F75" wp14:editId="4A0EDD89">
            <wp:extent cx="2031847" cy="1295400"/>
            <wp:effectExtent l="0" t="0" r="6985" b="0"/>
            <wp:docPr id="945533024" name="Grafik 1" descr="Une image contenant une photographie aérienne, un arbre, une vue aérienne, une perspective à vol d'oiseau. 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533024" name="Grafik 1" descr="Ein Bild, das Luftfotografie, Baum, Luftbild, Vogelperspektive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2106003" cy="1342678"/>
                    </a:xfrm>
                    <a:prstGeom prst="rect">
                      <a:avLst/>
                    </a:prstGeom>
                  </pic:spPr>
                </pic:pic>
              </a:graphicData>
            </a:graphic>
          </wp:inline>
        </w:drawing>
      </w:r>
      <w:r>
        <w:rPr>
          <w:b w:val="0"/>
          <w:lang w:val="fr-FR"/>
        </w:rPr>
        <w:br/>
      </w:r>
      <w:r>
        <w:rPr>
          <w:bCs/>
          <w:szCs w:val="20"/>
          <w:lang w:val="fr-FR"/>
        </w:rPr>
        <w:t>JV_photo_Falkenstein_SUPER_1800-5_X_PR_002</w:t>
      </w:r>
      <w:r>
        <w:rPr>
          <w:b w:val="0"/>
          <w:lang w:val="fr-FR"/>
        </w:rPr>
        <w:br/>
        <w:t xml:space="preserve">Des virages en épingle à cheveux et des montées raides caractérisent l'étroite route menant aux ruines du château de </w:t>
      </w:r>
      <w:proofErr w:type="spellStart"/>
      <w:r>
        <w:rPr>
          <w:b w:val="0"/>
          <w:lang w:val="fr-FR"/>
        </w:rPr>
        <w:t>Falkenstein</w:t>
      </w:r>
      <w:proofErr w:type="spellEnd"/>
      <w:r>
        <w:rPr>
          <w:b w:val="0"/>
          <w:lang w:val="fr-FR"/>
        </w:rPr>
        <w:t xml:space="preserve"> et à l'hôtel gastronomique qui lui est associé.</w:t>
      </w:r>
      <w:r>
        <w:rPr>
          <w:bCs/>
          <w:color w:val="000000" w:themeColor="text1"/>
          <w:lang w:val="fr-FR"/>
        </w:rPr>
        <w:t xml:space="preserve"> </w:t>
      </w:r>
    </w:p>
    <w:p w14:paraId="0BCF03C5" w14:textId="77777777" w:rsidR="00A4222F" w:rsidRPr="008059E0" w:rsidRDefault="00A4222F" w:rsidP="00A4222F">
      <w:pPr>
        <w:rPr>
          <w:rFonts w:eastAsiaTheme="minorHAnsi" w:cstheme="minorBidi"/>
          <w:b/>
          <w:sz w:val="22"/>
          <w:szCs w:val="24"/>
        </w:rPr>
      </w:pPr>
    </w:p>
    <w:p w14:paraId="1FD05DC2" w14:textId="2ADD353E" w:rsidR="00A4222F" w:rsidRPr="004F7A7E" w:rsidRDefault="00EE22FB" w:rsidP="00A4222F">
      <w:pPr>
        <w:pStyle w:val="BUbold"/>
        <w:rPr>
          <w:bCs/>
          <w:szCs w:val="20"/>
        </w:rPr>
      </w:pPr>
      <w:r>
        <w:rPr>
          <w:b w:val="0"/>
          <w:noProof/>
          <w:sz w:val="22"/>
          <w:szCs w:val="22"/>
          <w:lang w:val="fr-FR"/>
        </w:rPr>
        <w:drawing>
          <wp:inline distT="0" distB="0" distL="0" distR="0" wp14:anchorId="5D7813AE" wp14:editId="6C673B6E">
            <wp:extent cx="2057400" cy="1308665"/>
            <wp:effectExtent l="0" t="0" r="0" b="6350"/>
            <wp:docPr id="387428164" name="Grafik 1" descr="Une image contenant l'extérieur, un arbre, une montagne, un nuage. 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28164" name="Grafik 1" descr="Ein Bild, das draußen, Baum, Berg, Wolke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2099221" cy="1335266"/>
                    </a:xfrm>
                    <a:prstGeom prst="rect">
                      <a:avLst/>
                    </a:prstGeom>
                  </pic:spPr>
                </pic:pic>
              </a:graphicData>
            </a:graphic>
          </wp:inline>
        </w:drawing>
      </w:r>
      <w:r>
        <w:rPr>
          <w:b w:val="0"/>
          <w:lang w:val="fr-FR"/>
        </w:rPr>
        <w:br/>
      </w:r>
      <w:r>
        <w:rPr>
          <w:bCs/>
          <w:szCs w:val="20"/>
          <w:lang w:val="fr-FR"/>
        </w:rPr>
        <w:t>JV_photo_Falkenstein_SUPER_1800-5_X_PR_003</w:t>
      </w:r>
      <w:r>
        <w:rPr>
          <w:b w:val="0"/>
          <w:lang w:val="fr-FR"/>
        </w:rPr>
        <w:br/>
        <w:t xml:space="preserve">En action : le finisseur SUPER 1800-5 X de </w:t>
      </w:r>
      <w:proofErr w:type="spellStart"/>
      <w:r>
        <w:rPr>
          <w:b w:val="0"/>
          <w:lang w:val="fr-FR"/>
        </w:rPr>
        <w:t>Vögele</w:t>
      </w:r>
      <w:proofErr w:type="spellEnd"/>
      <w:r>
        <w:rPr>
          <w:b w:val="0"/>
          <w:lang w:val="fr-FR"/>
        </w:rPr>
        <w:t xml:space="preserve"> et les rouleaux tandem HD 13 VO et HD 10 VT de Hamm.</w:t>
      </w:r>
    </w:p>
    <w:p w14:paraId="17A99001" w14:textId="77777777" w:rsidR="00A4222F" w:rsidRPr="00910F38" w:rsidRDefault="00A4222F" w:rsidP="00910F38">
      <w:pPr>
        <w:rPr>
          <w:rFonts w:eastAsiaTheme="minorHAnsi" w:cstheme="minorBidi"/>
          <w:b/>
          <w:sz w:val="22"/>
          <w:szCs w:val="24"/>
        </w:rPr>
      </w:pPr>
    </w:p>
    <w:p w14:paraId="0F0CBE24" w14:textId="0350582E" w:rsidR="00A4222F" w:rsidRPr="004F7A7E" w:rsidRDefault="00035412" w:rsidP="00A4222F">
      <w:pPr>
        <w:pStyle w:val="BUbold"/>
        <w:rPr>
          <w:bCs/>
          <w:szCs w:val="20"/>
        </w:rPr>
      </w:pPr>
      <w:r>
        <w:rPr>
          <w:b w:val="0"/>
          <w:noProof/>
          <w:lang w:val="fr-FR"/>
        </w:rPr>
        <w:drawing>
          <wp:inline distT="0" distB="0" distL="0" distR="0" wp14:anchorId="1A22360A" wp14:editId="237F1614">
            <wp:extent cx="1990725" cy="1326661"/>
            <wp:effectExtent l="0" t="0" r="0" b="6985"/>
            <wp:docPr id="1314750165" name="Grafik 3" descr="Une image contenant un moyen de transport, un arbre, l'extérieur, un véhicule. Le contenu généré par l'IA peut être erro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750165" name="Grafik 3" descr="Ein Bild, das Transport, Baum, draußen, 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09316" cy="1339050"/>
                    </a:xfrm>
                    <a:prstGeom prst="rect">
                      <a:avLst/>
                    </a:prstGeom>
                    <a:noFill/>
                    <a:ln>
                      <a:noFill/>
                    </a:ln>
                  </pic:spPr>
                </pic:pic>
              </a:graphicData>
            </a:graphic>
          </wp:inline>
        </w:drawing>
      </w:r>
      <w:r>
        <w:rPr>
          <w:b w:val="0"/>
          <w:lang w:val="fr-FR"/>
        </w:rPr>
        <w:br/>
      </w:r>
      <w:r>
        <w:rPr>
          <w:bCs/>
          <w:szCs w:val="20"/>
          <w:lang w:val="fr-FR"/>
        </w:rPr>
        <w:t>JV_photo_Falkenstein_SUPER_1800-5_X_PR_004</w:t>
      </w:r>
    </w:p>
    <w:p w14:paraId="76E71C9A" w14:textId="6BC3FF23" w:rsidR="00A4222F" w:rsidRPr="008059E0" w:rsidRDefault="00035412" w:rsidP="00A4222F">
      <w:pPr>
        <w:pStyle w:val="BUnormal"/>
      </w:pPr>
      <w:r>
        <w:rPr>
          <w:lang w:val="fr-FR"/>
        </w:rPr>
        <w:t xml:space="preserve">Il fallait manœuvrer le finisseur de routes </w:t>
      </w:r>
      <w:proofErr w:type="spellStart"/>
      <w:r>
        <w:rPr>
          <w:lang w:val="fr-FR"/>
        </w:rPr>
        <w:t>Vögele</w:t>
      </w:r>
      <w:proofErr w:type="spellEnd"/>
      <w:r>
        <w:rPr>
          <w:lang w:val="fr-FR"/>
        </w:rPr>
        <w:t xml:space="preserve"> et les tambours de fraisage Hamm avec une précision absolue dans les virages serrés afin d'obtenir un résultat optimal. </w:t>
      </w:r>
      <w:r>
        <w:rPr>
          <w:lang w:val="fr-FR"/>
        </w:rPr>
        <w:br/>
      </w:r>
    </w:p>
    <w:p w14:paraId="6BBBB646" w14:textId="1F9C566C" w:rsidR="007C2FEE" w:rsidRPr="004F7A7E" w:rsidRDefault="00035412" w:rsidP="007C2FEE">
      <w:pPr>
        <w:pStyle w:val="BUbold"/>
        <w:rPr>
          <w:bCs/>
          <w:szCs w:val="20"/>
        </w:rPr>
      </w:pPr>
      <w:r>
        <w:rPr>
          <w:b w:val="0"/>
          <w:noProof/>
          <w:lang w:val="fr-FR"/>
        </w:rPr>
        <w:lastRenderedPageBreak/>
        <w:drawing>
          <wp:inline distT="0" distB="0" distL="0" distR="0" wp14:anchorId="27730F17" wp14:editId="596DF9BF">
            <wp:extent cx="2038350" cy="1358401"/>
            <wp:effectExtent l="0" t="0" r="0" b="0"/>
            <wp:docPr id="1146793733" name="Grafik 2" descr="Une image contenant un arbre, l'extérieur, un moyen de transport, une personne. 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793733" name="Grafik 2" descr="Ein Bild, das Baum, draußen, Transport, Person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050419" cy="1366444"/>
                    </a:xfrm>
                    <a:prstGeom prst="rect">
                      <a:avLst/>
                    </a:prstGeom>
                    <a:noFill/>
                    <a:ln>
                      <a:noFill/>
                    </a:ln>
                  </pic:spPr>
                </pic:pic>
              </a:graphicData>
            </a:graphic>
          </wp:inline>
        </w:drawing>
      </w:r>
      <w:r>
        <w:rPr>
          <w:b w:val="0"/>
          <w:lang w:val="fr-FR"/>
        </w:rPr>
        <w:br/>
      </w:r>
      <w:r>
        <w:rPr>
          <w:bCs/>
          <w:szCs w:val="20"/>
          <w:lang w:val="fr-FR"/>
        </w:rPr>
        <w:t>JV_photo_Falkenstein_SUPER_1800-5_X_PR_005</w:t>
      </w:r>
    </w:p>
    <w:p w14:paraId="43BC7053" w14:textId="4BAC2C66" w:rsidR="00980313" w:rsidRPr="008059E0" w:rsidRDefault="00035412" w:rsidP="007C2FEE">
      <w:pPr>
        <w:pStyle w:val="BUnormal"/>
      </w:pPr>
      <w:r>
        <w:rPr>
          <w:lang w:val="fr-FR"/>
        </w:rPr>
        <w:t xml:space="preserve">La conductrice du finisseur Tatjana </w:t>
      </w:r>
      <w:proofErr w:type="spellStart"/>
      <w:r>
        <w:rPr>
          <w:lang w:val="fr-FR"/>
        </w:rPr>
        <w:t>Drexler</w:t>
      </w:r>
      <w:proofErr w:type="spellEnd"/>
      <w:r>
        <w:rPr>
          <w:lang w:val="fr-FR"/>
        </w:rPr>
        <w:t xml:space="preserve"> bénéficie d'une vue d'ensemble optimale, d'une direction précise grâce au </w:t>
      </w:r>
      <w:proofErr w:type="spellStart"/>
      <w:r>
        <w:rPr>
          <w:lang w:val="fr-FR"/>
        </w:rPr>
        <w:t>SmartWheel</w:t>
      </w:r>
      <w:proofErr w:type="spellEnd"/>
      <w:r>
        <w:rPr>
          <w:lang w:val="fr-FR"/>
        </w:rPr>
        <w:t xml:space="preserve"> et d'un réglage exact de la largeur de la table du finisseur de routes </w:t>
      </w:r>
      <w:proofErr w:type="spellStart"/>
      <w:r>
        <w:rPr>
          <w:lang w:val="fr-FR"/>
        </w:rPr>
        <w:t>Vögele</w:t>
      </w:r>
      <w:proofErr w:type="spellEnd"/>
      <w:r>
        <w:rPr>
          <w:lang w:val="fr-FR"/>
        </w:rPr>
        <w:t xml:space="preserve"> lors de la pose.</w:t>
      </w:r>
      <w:r>
        <w:rPr>
          <w:lang w:val="fr-FR"/>
        </w:rPr>
        <w:br/>
      </w:r>
    </w:p>
    <w:p w14:paraId="41BFEB0C" w14:textId="3D86EB6A" w:rsidR="00BE6237" w:rsidRPr="008059E0" w:rsidRDefault="00BE6237" w:rsidP="00BE6237">
      <w:pPr>
        <w:rPr>
          <w:sz w:val="22"/>
          <w:szCs w:val="22"/>
        </w:rPr>
      </w:pPr>
      <w:r>
        <w:rPr>
          <w:b/>
          <w:bCs/>
          <w:sz w:val="22"/>
          <w:szCs w:val="22"/>
          <w:lang w:val="fr-FR"/>
        </w:rPr>
        <w:t>Vidéos :</w:t>
      </w:r>
    </w:p>
    <w:p w14:paraId="7AA8F649" w14:textId="77777777" w:rsidR="00BE6237" w:rsidRPr="008059E0" w:rsidRDefault="00BE6237" w:rsidP="005129F2">
      <w:pPr>
        <w:rPr>
          <w:rFonts w:eastAsiaTheme="minorHAnsi" w:cstheme="minorBidi"/>
          <w:b/>
          <w:sz w:val="22"/>
          <w:szCs w:val="24"/>
        </w:rPr>
      </w:pPr>
    </w:p>
    <w:p w14:paraId="7ABA6F6D" w14:textId="77777777" w:rsidR="00AA2BCF" w:rsidRPr="008059E0" w:rsidRDefault="00AA2BCF" w:rsidP="00AA2BCF">
      <w:pPr>
        <w:spacing w:after="160" w:line="278" w:lineRule="auto"/>
        <w:rPr>
          <w:sz w:val="18"/>
          <w:szCs w:val="18"/>
        </w:rPr>
      </w:pPr>
      <w:r>
        <w:rPr>
          <w:b/>
          <w:bCs/>
          <w:noProof/>
          <w:lang w:val="en-GB"/>
        </w:rPr>
        <w:drawing>
          <wp:inline distT="0" distB="0" distL="0" distR="0" wp14:anchorId="5D5199AA" wp14:editId="1BA93826">
            <wp:extent cx="3240000" cy="18225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240000" cy="1822500"/>
                    </a:xfrm>
                    <a:prstGeom prst="rect">
                      <a:avLst/>
                    </a:prstGeom>
                    <a:noFill/>
                    <a:ln>
                      <a:noFill/>
                    </a:ln>
                  </pic:spPr>
                </pic:pic>
              </a:graphicData>
            </a:graphic>
          </wp:inline>
        </w:drawing>
      </w:r>
    </w:p>
    <w:p w14:paraId="14B0F8C1" w14:textId="751357FE" w:rsidR="00BE6237" w:rsidRPr="008059E0" w:rsidRDefault="000D53B5" w:rsidP="00BE6237">
      <w:pPr>
        <w:spacing w:after="160" w:line="278" w:lineRule="auto"/>
      </w:pPr>
      <w:hyperlink r:id="rId14" w:history="1">
        <w:r w:rsidR="00BE6237" w:rsidRPr="00AA2BCF">
          <w:rPr>
            <w:rStyle w:val="Hyperlink"/>
            <w:sz w:val="20"/>
            <w:szCs w:val="20"/>
            <w:lang w:val="fr-FR"/>
          </w:rPr>
          <w:t>Pour regarder la vidéo, veuillez cliquer ici.</w:t>
        </w:r>
      </w:hyperlink>
    </w:p>
    <w:bookmarkStart w:id="0" w:name="_Hlk177486135"/>
    <w:p w14:paraId="431F870A" w14:textId="77777777" w:rsidR="00BE6237" w:rsidRPr="008059E0" w:rsidRDefault="00BE6237" w:rsidP="00BE6237">
      <w:pPr>
        <w:snapToGrid w:val="0"/>
        <w:contextualSpacing/>
        <w:rPr>
          <w:rFonts w:eastAsia="Times New Roman"/>
          <w:b/>
          <w:iCs/>
          <w:color w:val="0070C0"/>
          <w:sz w:val="20"/>
          <w:szCs w:val="20"/>
        </w:rPr>
      </w:pPr>
      <w:r>
        <w:rPr>
          <w:rFonts w:eastAsia="Times New Roman"/>
          <w:color w:val="0070C0"/>
          <w:sz w:val="20"/>
          <w:szCs w:val="20"/>
          <w:lang w:val="fr-FR"/>
        </w:rPr>
        <w:fldChar w:fldCharType="begin"/>
      </w:r>
      <w:r>
        <w:rPr>
          <w:rFonts w:eastAsia="Times New Roman"/>
          <w:color w:val="0070C0"/>
          <w:sz w:val="20"/>
          <w:szCs w:val="20"/>
          <w:lang w:val="fr-FR"/>
        </w:rPr>
        <w:instrText>HYPERLINK "https://www.youtube.com/@WirtgenGroup"</w:instrText>
      </w:r>
      <w:r>
        <w:rPr>
          <w:rFonts w:eastAsia="Times New Roman"/>
          <w:color w:val="0070C0"/>
          <w:sz w:val="20"/>
          <w:szCs w:val="20"/>
          <w:lang w:val="fr-FR"/>
        </w:rPr>
        <w:fldChar w:fldCharType="separate"/>
      </w:r>
      <w:r>
        <w:rPr>
          <w:rFonts w:eastAsia="Times New Roman"/>
          <w:b/>
          <w:bCs/>
          <w:color w:val="0070C0"/>
          <w:sz w:val="20"/>
          <w:szCs w:val="20"/>
          <w:u w:val="single"/>
          <w:lang w:val="fr-FR"/>
        </w:rPr>
        <w:t>Vous trouverez d'autres vidéos sur la chaîne YouTube du Wirtgen Group</w:t>
      </w:r>
      <w:r>
        <w:rPr>
          <w:rFonts w:eastAsia="Times New Roman"/>
          <w:b/>
          <w:bCs/>
          <w:color w:val="0070C0"/>
          <w:sz w:val="20"/>
          <w:szCs w:val="20"/>
          <w:u w:val="single"/>
          <w:lang w:val="fr-FR"/>
        </w:rPr>
        <w:fldChar w:fldCharType="end"/>
      </w:r>
      <w:r>
        <w:rPr>
          <w:rFonts w:eastAsia="Times New Roman"/>
          <w:b/>
          <w:bCs/>
          <w:color w:val="0070C0"/>
          <w:sz w:val="20"/>
          <w:szCs w:val="20"/>
          <w:u w:val="single"/>
          <w:lang w:val="fr-FR"/>
        </w:rPr>
        <w:t>.</w:t>
      </w:r>
    </w:p>
    <w:bookmarkEnd w:id="0"/>
    <w:p w14:paraId="111084B6" w14:textId="77777777" w:rsidR="00BE6237" w:rsidRPr="008059E0" w:rsidRDefault="00BE6237" w:rsidP="003855F5">
      <w:pPr>
        <w:pStyle w:val="BUnormal"/>
      </w:pPr>
    </w:p>
    <w:p w14:paraId="67E83AFA" w14:textId="6DF33779" w:rsidR="00980313" w:rsidRPr="008059E0" w:rsidRDefault="00714D6B" w:rsidP="00A96B2E">
      <w:pPr>
        <w:pStyle w:val="Note"/>
      </w:pPr>
      <w:r>
        <w:rPr>
          <w:iCs/>
          <w:lang w:val="fr-FR"/>
        </w:rPr>
        <w:t>Attention : ces photos sont destinées uniquement à une première visualisation. Pour vos publications, veuillez utiliser les photos en résolution 300 dpi qui peuvent être téléchargées ci-joint.</w:t>
      </w:r>
    </w:p>
    <w:p w14:paraId="717825D0" w14:textId="4B1B0DAB" w:rsidR="00B409DF" w:rsidRPr="008059E0" w:rsidRDefault="00B409DF" w:rsidP="00B409DF">
      <w:pPr>
        <w:pStyle w:val="Absatzberschrift"/>
        <w:rPr>
          <w:iCs/>
        </w:rPr>
      </w:pPr>
      <w:r>
        <w:rPr>
          <w:bCs/>
          <w:lang w:val="fr-FR"/>
        </w:rPr>
        <w:t>Vous pouvez obtenir de plus amples informations auprès de :</w:t>
      </w:r>
    </w:p>
    <w:p w14:paraId="294F8CA8" w14:textId="77777777" w:rsidR="00B409DF" w:rsidRPr="008059E0" w:rsidRDefault="00B409DF" w:rsidP="00B409DF">
      <w:pPr>
        <w:pStyle w:val="Absatzberschrift"/>
      </w:pPr>
    </w:p>
    <w:p w14:paraId="6BD3D8AD" w14:textId="77777777" w:rsidR="00B409DF" w:rsidRPr="008059E0" w:rsidRDefault="00B409DF" w:rsidP="00B409DF">
      <w:pPr>
        <w:pStyle w:val="Absatzberschrift"/>
        <w:rPr>
          <w:b w:val="0"/>
          <w:bCs/>
          <w:szCs w:val="22"/>
        </w:rPr>
      </w:pPr>
      <w:r>
        <w:rPr>
          <w:b w:val="0"/>
          <w:lang w:val="fr-FR"/>
        </w:rPr>
        <w:t>WIRTGEN GROUP</w:t>
      </w:r>
    </w:p>
    <w:p w14:paraId="392C6846" w14:textId="77777777" w:rsidR="00B409DF" w:rsidRPr="008059E0" w:rsidRDefault="00B409DF" w:rsidP="00B409DF">
      <w:pPr>
        <w:pStyle w:val="Fuzeile1"/>
      </w:pPr>
      <w:r>
        <w:rPr>
          <w:bCs w:val="0"/>
          <w:iCs w:val="0"/>
          <w:lang w:val="fr-FR"/>
        </w:rPr>
        <w:t>Public Relations</w:t>
      </w:r>
    </w:p>
    <w:p w14:paraId="77A90FFB" w14:textId="77777777" w:rsidR="00B409DF" w:rsidRPr="008059E0" w:rsidRDefault="00B409DF" w:rsidP="00B409DF">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2BD7061F" w14:textId="77777777" w:rsidR="00B409DF" w:rsidRPr="008059E0" w:rsidRDefault="00B409DF" w:rsidP="00B409DF">
      <w:pPr>
        <w:pStyle w:val="Fuzeile1"/>
      </w:pPr>
      <w:r>
        <w:rPr>
          <w:bCs w:val="0"/>
          <w:iCs w:val="0"/>
          <w:lang w:val="fr-FR"/>
        </w:rPr>
        <w:t xml:space="preserve">53578 </w:t>
      </w:r>
      <w:proofErr w:type="spellStart"/>
      <w:r>
        <w:rPr>
          <w:bCs w:val="0"/>
          <w:iCs w:val="0"/>
          <w:lang w:val="fr-FR"/>
        </w:rPr>
        <w:t>Windhagen</w:t>
      </w:r>
      <w:proofErr w:type="spellEnd"/>
    </w:p>
    <w:p w14:paraId="7312A980" w14:textId="77777777" w:rsidR="00B409DF" w:rsidRPr="008059E0" w:rsidRDefault="00B409DF" w:rsidP="00B409DF">
      <w:pPr>
        <w:pStyle w:val="Fuzeile1"/>
      </w:pPr>
      <w:r>
        <w:rPr>
          <w:bCs w:val="0"/>
          <w:iCs w:val="0"/>
          <w:lang w:val="fr-FR"/>
        </w:rPr>
        <w:t>Allemagne</w:t>
      </w:r>
    </w:p>
    <w:p w14:paraId="2DFD9654" w14:textId="77777777" w:rsidR="00B409DF" w:rsidRPr="008059E0" w:rsidRDefault="00B409DF" w:rsidP="00B409DF">
      <w:pPr>
        <w:pStyle w:val="Fuzeile1"/>
      </w:pPr>
    </w:p>
    <w:p w14:paraId="747CCDAF" w14:textId="78D0EB80" w:rsidR="00B409DF" w:rsidRPr="008059E0" w:rsidRDefault="00B409DF" w:rsidP="00910F38">
      <w:pPr>
        <w:pStyle w:val="Fuzeile1"/>
        <w:tabs>
          <w:tab w:val="left" w:pos="1560"/>
        </w:tabs>
        <w:rPr>
          <w:rFonts w:ascii="Times New Roman" w:hAnsi="Times New Roman" w:cs="Times New Roman"/>
        </w:rPr>
      </w:pPr>
      <w:r>
        <w:rPr>
          <w:bCs w:val="0"/>
          <w:iCs w:val="0"/>
          <w:lang w:val="fr-FR"/>
        </w:rPr>
        <w:t xml:space="preserve">Téléphone : </w:t>
      </w:r>
      <w:r>
        <w:rPr>
          <w:bCs w:val="0"/>
          <w:iCs w:val="0"/>
          <w:lang w:val="fr-FR"/>
        </w:rPr>
        <w:tab/>
        <w:t>+49 (0) 2645 131 – 1966</w:t>
      </w:r>
    </w:p>
    <w:p w14:paraId="72EBA31D" w14:textId="369121F8" w:rsidR="00B409DF" w:rsidRPr="008059E0" w:rsidRDefault="00B409DF" w:rsidP="00910F38">
      <w:pPr>
        <w:pStyle w:val="Fuzeile1"/>
        <w:tabs>
          <w:tab w:val="left" w:pos="1560"/>
        </w:tabs>
      </w:pPr>
      <w:r>
        <w:rPr>
          <w:bCs w:val="0"/>
          <w:iCs w:val="0"/>
          <w:lang w:val="fr-FR"/>
        </w:rPr>
        <w:t>Fax :</w:t>
      </w:r>
      <w:r>
        <w:rPr>
          <w:bCs w:val="0"/>
          <w:iCs w:val="0"/>
          <w:lang w:val="fr-FR"/>
        </w:rPr>
        <w:tab/>
        <w:t>+49 (0) 2645 131 – 499</w:t>
      </w:r>
    </w:p>
    <w:p w14:paraId="54DD8925" w14:textId="01E7877D" w:rsidR="00B409DF" w:rsidRPr="008059E0" w:rsidRDefault="00B409DF" w:rsidP="00910F38">
      <w:pPr>
        <w:pStyle w:val="Fuzeile1"/>
        <w:tabs>
          <w:tab w:val="left" w:pos="1560"/>
        </w:tabs>
      </w:pPr>
      <w:r>
        <w:rPr>
          <w:bCs w:val="0"/>
          <w:iCs w:val="0"/>
          <w:lang w:val="fr-FR"/>
        </w:rPr>
        <w:t>E-mail :</w:t>
      </w:r>
      <w:r>
        <w:rPr>
          <w:bCs w:val="0"/>
          <w:iCs w:val="0"/>
          <w:lang w:val="fr-FR"/>
        </w:rPr>
        <w:tab/>
      </w:r>
      <w:hyperlink r:id="rId15" w:history="1">
        <w:r>
          <w:rPr>
            <w:rStyle w:val="Hyperlink"/>
            <w:bCs w:val="0"/>
            <w:iCs w:val="0"/>
            <w:lang w:val="fr-FR"/>
          </w:rPr>
          <w:t>PR@wirtgen-group.com</w:t>
        </w:r>
      </w:hyperlink>
    </w:p>
    <w:p w14:paraId="51E322C9" w14:textId="77777777" w:rsidR="00B409DF" w:rsidRPr="008059E0" w:rsidRDefault="00B409DF" w:rsidP="00B409DF">
      <w:pPr>
        <w:pStyle w:val="Fuzeile1"/>
        <w:rPr>
          <w:vanish/>
        </w:rPr>
      </w:pPr>
    </w:p>
    <w:p w14:paraId="02ED9A5B" w14:textId="18DA3F1D" w:rsidR="00A76CDD" w:rsidRPr="008059E0" w:rsidRDefault="000D53B5" w:rsidP="00B409DF">
      <w:pPr>
        <w:pStyle w:val="Fuzeile1"/>
      </w:pPr>
      <w:hyperlink r:id="rId16" w:history="1">
        <w:r w:rsidR="00582BCD">
          <w:rPr>
            <w:rStyle w:val="Hyperlink"/>
            <w:bCs w:val="0"/>
            <w:iCs w:val="0"/>
            <w:lang w:val="fr-FR"/>
          </w:rPr>
          <w:t>www.wirtgen-group.com</w:t>
        </w:r>
      </w:hyperlink>
    </w:p>
    <w:sectPr w:rsidR="00A76CDD" w:rsidRPr="008059E0"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18CA7" w14:textId="77777777" w:rsidR="00F91CA0" w:rsidRDefault="00F91CA0" w:rsidP="00E55534">
      <w:r>
        <w:separator/>
      </w:r>
    </w:p>
  </w:endnote>
  <w:endnote w:type="continuationSeparator" w:id="0">
    <w:p w14:paraId="7D76DA05" w14:textId="77777777" w:rsidR="00F91CA0" w:rsidRDefault="00F91CA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 xml:space="preserve">WIRTGEN </w:t>
          </w:r>
          <w:proofErr w:type="spellStart"/>
          <w:r>
            <w:rPr>
              <w:rStyle w:val="Hervorhebung"/>
              <w:bCs/>
              <w:iCs w:val="0"/>
              <w:szCs w:val="20"/>
              <w:lang w:val="fr-FR"/>
            </w:rPr>
            <w:t>GmbH</w:t>
          </w:r>
          <w:proofErr w:type="spellEnd"/>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064F2" w14:textId="77777777" w:rsidR="00F91CA0" w:rsidRDefault="00F91CA0" w:rsidP="00E55534">
      <w:r>
        <w:separator/>
      </w:r>
    </w:p>
  </w:footnote>
  <w:footnote w:type="continuationSeparator" w:id="0">
    <w:p w14:paraId="4CB101CA" w14:textId="77777777" w:rsidR="00F91CA0" w:rsidRDefault="00F91CA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4914A27" w:rsidR="00615CDA" w:rsidRPr="00615CDA" w:rsidRDefault="008059E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4914A27" w:rsidR="00615CDA" w:rsidRPr="00615CDA" w:rsidRDefault="008059E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500pt;height:1500pt" o:bullet="t">
        <v:imagedata r:id="rId1" o:title="AZ_04a"/>
      </v:shape>
    </w:pict>
  </w:numPicBullet>
  <w:numPicBullet w:numPicBulletId="1">
    <w:pict>
      <v:shape id="_x0000_i108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C0E"/>
    <w:rsid w:val="00004F75"/>
    <w:rsid w:val="0000551D"/>
    <w:rsid w:val="00005EF2"/>
    <w:rsid w:val="0000745C"/>
    <w:rsid w:val="000148B3"/>
    <w:rsid w:val="00017575"/>
    <w:rsid w:val="00024BFC"/>
    <w:rsid w:val="000278CB"/>
    <w:rsid w:val="00035412"/>
    <w:rsid w:val="000401F1"/>
    <w:rsid w:val="00041A59"/>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D53B5"/>
    <w:rsid w:val="000E24F8"/>
    <w:rsid w:val="000E5738"/>
    <w:rsid w:val="000F3749"/>
    <w:rsid w:val="000F4D06"/>
    <w:rsid w:val="00103205"/>
    <w:rsid w:val="0011795C"/>
    <w:rsid w:val="0012026F"/>
    <w:rsid w:val="001229FC"/>
    <w:rsid w:val="00124036"/>
    <w:rsid w:val="00125DA5"/>
    <w:rsid w:val="00130601"/>
    <w:rsid w:val="00132055"/>
    <w:rsid w:val="00143885"/>
    <w:rsid w:val="00146C3D"/>
    <w:rsid w:val="00147126"/>
    <w:rsid w:val="00153B47"/>
    <w:rsid w:val="001613A6"/>
    <w:rsid w:val="001614F0"/>
    <w:rsid w:val="001616F4"/>
    <w:rsid w:val="001631DB"/>
    <w:rsid w:val="00166292"/>
    <w:rsid w:val="0018021A"/>
    <w:rsid w:val="00182D69"/>
    <w:rsid w:val="001936B4"/>
    <w:rsid w:val="00193CE0"/>
    <w:rsid w:val="00194FB1"/>
    <w:rsid w:val="001B16BB"/>
    <w:rsid w:val="001B34EE"/>
    <w:rsid w:val="001C1A3E"/>
    <w:rsid w:val="001C387D"/>
    <w:rsid w:val="001F359E"/>
    <w:rsid w:val="00200355"/>
    <w:rsid w:val="0021351D"/>
    <w:rsid w:val="00242AB2"/>
    <w:rsid w:val="00253A2E"/>
    <w:rsid w:val="002603EC"/>
    <w:rsid w:val="00261491"/>
    <w:rsid w:val="00282AFC"/>
    <w:rsid w:val="00286C15"/>
    <w:rsid w:val="0029634D"/>
    <w:rsid w:val="002C0F6D"/>
    <w:rsid w:val="002C6F4F"/>
    <w:rsid w:val="002C7542"/>
    <w:rsid w:val="002D065C"/>
    <w:rsid w:val="002D0780"/>
    <w:rsid w:val="002D2EE5"/>
    <w:rsid w:val="002D63E6"/>
    <w:rsid w:val="002E619D"/>
    <w:rsid w:val="002E6AC6"/>
    <w:rsid w:val="002E765F"/>
    <w:rsid w:val="002E7812"/>
    <w:rsid w:val="002E7E4E"/>
    <w:rsid w:val="002F108B"/>
    <w:rsid w:val="002F5818"/>
    <w:rsid w:val="002F70FD"/>
    <w:rsid w:val="002F7E0B"/>
    <w:rsid w:val="0030316D"/>
    <w:rsid w:val="00321D14"/>
    <w:rsid w:val="0032774C"/>
    <w:rsid w:val="00332D28"/>
    <w:rsid w:val="00340E41"/>
    <w:rsid w:val="0034191A"/>
    <w:rsid w:val="003426AE"/>
    <w:rsid w:val="00343CC7"/>
    <w:rsid w:val="00354AFD"/>
    <w:rsid w:val="0036561D"/>
    <w:rsid w:val="003665BE"/>
    <w:rsid w:val="00366831"/>
    <w:rsid w:val="00384A08"/>
    <w:rsid w:val="003850A9"/>
    <w:rsid w:val="003855F5"/>
    <w:rsid w:val="003858A6"/>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2CCF"/>
    <w:rsid w:val="00403373"/>
    <w:rsid w:val="00406C81"/>
    <w:rsid w:val="00411941"/>
    <w:rsid w:val="00412545"/>
    <w:rsid w:val="00412995"/>
    <w:rsid w:val="00417237"/>
    <w:rsid w:val="00423C0E"/>
    <w:rsid w:val="00430BB0"/>
    <w:rsid w:val="00434B35"/>
    <w:rsid w:val="0045697D"/>
    <w:rsid w:val="00465270"/>
    <w:rsid w:val="00467F3C"/>
    <w:rsid w:val="0047498D"/>
    <w:rsid w:val="00476100"/>
    <w:rsid w:val="00486AAD"/>
    <w:rsid w:val="00487BFC"/>
    <w:rsid w:val="004936B9"/>
    <w:rsid w:val="004A1833"/>
    <w:rsid w:val="004A488C"/>
    <w:rsid w:val="004B0506"/>
    <w:rsid w:val="004B204D"/>
    <w:rsid w:val="004B3E60"/>
    <w:rsid w:val="004C0393"/>
    <w:rsid w:val="004C1967"/>
    <w:rsid w:val="004C444F"/>
    <w:rsid w:val="004D23D0"/>
    <w:rsid w:val="004D2BE0"/>
    <w:rsid w:val="004E0A77"/>
    <w:rsid w:val="004E261C"/>
    <w:rsid w:val="004E41C6"/>
    <w:rsid w:val="004E54DB"/>
    <w:rsid w:val="004E61FD"/>
    <w:rsid w:val="004E6EF5"/>
    <w:rsid w:val="004E74CA"/>
    <w:rsid w:val="004F7A7E"/>
    <w:rsid w:val="004F7F91"/>
    <w:rsid w:val="00506409"/>
    <w:rsid w:val="005129F2"/>
    <w:rsid w:val="00530E32"/>
    <w:rsid w:val="00533132"/>
    <w:rsid w:val="00534889"/>
    <w:rsid w:val="00537210"/>
    <w:rsid w:val="00541412"/>
    <w:rsid w:val="00541C9E"/>
    <w:rsid w:val="00544E74"/>
    <w:rsid w:val="005509EC"/>
    <w:rsid w:val="005649F4"/>
    <w:rsid w:val="005710C8"/>
    <w:rsid w:val="005711A3"/>
    <w:rsid w:val="00571A5C"/>
    <w:rsid w:val="00573B2B"/>
    <w:rsid w:val="005776E9"/>
    <w:rsid w:val="00582BCD"/>
    <w:rsid w:val="00587AD9"/>
    <w:rsid w:val="005909A8"/>
    <w:rsid w:val="00592019"/>
    <w:rsid w:val="005931CB"/>
    <w:rsid w:val="00594957"/>
    <w:rsid w:val="005A0C5F"/>
    <w:rsid w:val="005A2B78"/>
    <w:rsid w:val="005A4F04"/>
    <w:rsid w:val="005B5793"/>
    <w:rsid w:val="005B6CFA"/>
    <w:rsid w:val="005C06A7"/>
    <w:rsid w:val="005C6B30"/>
    <w:rsid w:val="005C71EC"/>
    <w:rsid w:val="005D7957"/>
    <w:rsid w:val="005D7B09"/>
    <w:rsid w:val="005E0829"/>
    <w:rsid w:val="005E764C"/>
    <w:rsid w:val="005F16C3"/>
    <w:rsid w:val="006063D4"/>
    <w:rsid w:val="00612D6C"/>
    <w:rsid w:val="006154B2"/>
    <w:rsid w:val="00615CDA"/>
    <w:rsid w:val="00617BD4"/>
    <w:rsid w:val="00623B37"/>
    <w:rsid w:val="006330A2"/>
    <w:rsid w:val="00642EB6"/>
    <w:rsid w:val="006433E2"/>
    <w:rsid w:val="00643E67"/>
    <w:rsid w:val="00651E5D"/>
    <w:rsid w:val="006604FD"/>
    <w:rsid w:val="00677F11"/>
    <w:rsid w:val="00681A74"/>
    <w:rsid w:val="00682B1A"/>
    <w:rsid w:val="006907BD"/>
    <w:rsid w:val="00690D7C"/>
    <w:rsid w:val="00690DFE"/>
    <w:rsid w:val="00691678"/>
    <w:rsid w:val="00697BD2"/>
    <w:rsid w:val="006B3EEC"/>
    <w:rsid w:val="006C0C87"/>
    <w:rsid w:val="006D7EAC"/>
    <w:rsid w:val="006E0104"/>
    <w:rsid w:val="006F7602"/>
    <w:rsid w:val="00707EAA"/>
    <w:rsid w:val="007100BC"/>
    <w:rsid w:val="00714D6B"/>
    <w:rsid w:val="00721BE3"/>
    <w:rsid w:val="00722A17"/>
    <w:rsid w:val="00723F4F"/>
    <w:rsid w:val="00755AE0"/>
    <w:rsid w:val="00755FA1"/>
    <w:rsid w:val="0075761B"/>
    <w:rsid w:val="00757B83"/>
    <w:rsid w:val="00772557"/>
    <w:rsid w:val="00774358"/>
    <w:rsid w:val="00791A69"/>
    <w:rsid w:val="007941B0"/>
    <w:rsid w:val="0079462A"/>
    <w:rsid w:val="00794830"/>
    <w:rsid w:val="00797CAA"/>
    <w:rsid w:val="007A2B6F"/>
    <w:rsid w:val="007A46B3"/>
    <w:rsid w:val="007A6AE8"/>
    <w:rsid w:val="007A6BD2"/>
    <w:rsid w:val="007B00DF"/>
    <w:rsid w:val="007B7CE0"/>
    <w:rsid w:val="007C2658"/>
    <w:rsid w:val="007C2FEE"/>
    <w:rsid w:val="007C4A1C"/>
    <w:rsid w:val="007D0EFA"/>
    <w:rsid w:val="007D59A2"/>
    <w:rsid w:val="007E20D0"/>
    <w:rsid w:val="007E3DAB"/>
    <w:rsid w:val="008053B3"/>
    <w:rsid w:val="008059E0"/>
    <w:rsid w:val="00815B29"/>
    <w:rsid w:val="00820315"/>
    <w:rsid w:val="00823073"/>
    <w:rsid w:val="0082316D"/>
    <w:rsid w:val="008246BC"/>
    <w:rsid w:val="00832921"/>
    <w:rsid w:val="008334EC"/>
    <w:rsid w:val="00834472"/>
    <w:rsid w:val="00836A5D"/>
    <w:rsid w:val="00840119"/>
    <w:rsid w:val="008427F2"/>
    <w:rsid w:val="00843B45"/>
    <w:rsid w:val="0084553B"/>
    <w:rsid w:val="0084571C"/>
    <w:rsid w:val="00860351"/>
    <w:rsid w:val="00863129"/>
    <w:rsid w:val="00866830"/>
    <w:rsid w:val="00870ACE"/>
    <w:rsid w:val="00873125"/>
    <w:rsid w:val="008755E5"/>
    <w:rsid w:val="00880ED3"/>
    <w:rsid w:val="00881E44"/>
    <w:rsid w:val="00891E43"/>
    <w:rsid w:val="00892F6F"/>
    <w:rsid w:val="00896F7E"/>
    <w:rsid w:val="008A1852"/>
    <w:rsid w:val="008A3E9C"/>
    <w:rsid w:val="008B1EB7"/>
    <w:rsid w:val="008C2A29"/>
    <w:rsid w:val="008C2DB2"/>
    <w:rsid w:val="008D26D8"/>
    <w:rsid w:val="008D770E"/>
    <w:rsid w:val="008F7BB7"/>
    <w:rsid w:val="0090337E"/>
    <w:rsid w:val="00904041"/>
    <w:rsid w:val="009049D8"/>
    <w:rsid w:val="00910609"/>
    <w:rsid w:val="00910F38"/>
    <w:rsid w:val="009125E2"/>
    <w:rsid w:val="00914C7E"/>
    <w:rsid w:val="00915841"/>
    <w:rsid w:val="00922098"/>
    <w:rsid w:val="0092318E"/>
    <w:rsid w:val="009303F0"/>
    <w:rsid w:val="009328FA"/>
    <w:rsid w:val="00936A78"/>
    <w:rsid w:val="009375E1"/>
    <w:rsid w:val="00952853"/>
    <w:rsid w:val="00963F47"/>
    <w:rsid w:val="00964362"/>
    <w:rsid w:val="009646E4"/>
    <w:rsid w:val="00977EC3"/>
    <w:rsid w:val="00980313"/>
    <w:rsid w:val="0098631D"/>
    <w:rsid w:val="009877C8"/>
    <w:rsid w:val="009A18B3"/>
    <w:rsid w:val="009B17A9"/>
    <w:rsid w:val="009B211F"/>
    <w:rsid w:val="009B3F8C"/>
    <w:rsid w:val="009B7C05"/>
    <w:rsid w:val="009C2378"/>
    <w:rsid w:val="009C5A77"/>
    <w:rsid w:val="009C5D99"/>
    <w:rsid w:val="009C6020"/>
    <w:rsid w:val="009C73BF"/>
    <w:rsid w:val="009D016F"/>
    <w:rsid w:val="009E251D"/>
    <w:rsid w:val="009E3D3E"/>
    <w:rsid w:val="009F0ABD"/>
    <w:rsid w:val="009F10A8"/>
    <w:rsid w:val="009F715C"/>
    <w:rsid w:val="00A01ABA"/>
    <w:rsid w:val="00A02F49"/>
    <w:rsid w:val="00A042C2"/>
    <w:rsid w:val="00A13C4A"/>
    <w:rsid w:val="00A171F4"/>
    <w:rsid w:val="00A1772D"/>
    <w:rsid w:val="00A177B2"/>
    <w:rsid w:val="00A22BD8"/>
    <w:rsid w:val="00A24EFC"/>
    <w:rsid w:val="00A27829"/>
    <w:rsid w:val="00A30886"/>
    <w:rsid w:val="00A4222F"/>
    <w:rsid w:val="00A44AFE"/>
    <w:rsid w:val="00A46F1E"/>
    <w:rsid w:val="00A63F69"/>
    <w:rsid w:val="00A76CDD"/>
    <w:rsid w:val="00A82395"/>
    <w:rsid w:val="00A9389A"/>
    <w:rsid w:val="00A96B2E"/>
    <w:rsid w:val="00A977CE"/>
    <w:rsid w:val="00AA2BCF"/>
    <w:rsid w:val="00AB1E65"/>
    <w:rsid w:val="00AB39AB"/>
    <w:rsid w:val="00AB52F9"/>
    <w:rsid w:val="00AC3138"/>
    <w:rsid w:val="00AC6F42"/>
    <w:rsid w:val="00AD131F"/>
    <w:rsid w:val="00AD32D5"/>
    <w:rsid w:val="00AD5388"/>
    <w:rsid w:val="00AD70E4"/>
    <w:rsid w:val="00AF3B3A"/>
    <w:rsid w:val="00AF4E8E"/>
    <w:rsid w:val="00AF6569"/>
    <w:rsid w:val="00B0299E"/>
    <w:rsid w:val="00B06265"/>
    <w:rsid w:val="00B115B5"/>
    <w:rsid w:val="00B2663E"/>
    <w:rsid w:val="00B314D8"/>
    <w:rsid w:val="00B409DF"/>
    <w:rsid w:val="00B4104D"/>
    <w:rsid w:val="00B4769A"/>
    <w:rsid w:val="00B5232A"/>
    <w:rsid w:val="00B550F9"/>
    <w:rsid w:val="00B60ED1"/>
    <w:rsid w:val="00B62CF5"/>
    <w:rsid w:val="00B63C90"/>
    <w:rsid w:val="00B65A46"/>
    <w:rsid w:val="00B70425"/>
    <w:rsid w:val="00B82F81"/>
    <w:rsid w:val="00B85705"/>
    <w:rsid w:val="00B874DC"/>
    <w:rsid w:val="00B90F78"/>
    <w:rsid w:val="00B91123"/>
    <w:rsid w:val="00B937EB"/>
    <w:rsid w:val="00B955DE"/>
    <w:rsid w:val="00B96C08"/>
    <w:rsid w:val="00BA46C6"/>
    <w:rsid w:val="00BA7BC5"/>
    <w:rsid w:val="00BC0E38"/>
    <w:rsid w:val="00BC1961"/>
    <w:rsid w:val="00BC487A"/>
    <w:rsid w:val="00BD1058"/>
    <w:rsid w:val="00BD50F6"/>
    <w:rsid w:val="00BD5391"/>
    <w:rsid w:val="00BD5987"/>
    <w:rsid w:val="00BD764C"/>
    <w:rsid w:val="00BE6237"/>
    <w:rsid w:val="00BF56B2"/>
    <w:rsid w:val="00C03EFB"/>
    <w:rsid w:val="00C055AB"/>
    <w:rsid w:val="00C11F95"/>
    <w:rsid w:val="00C128E5"/>
    <w:rsid w:val="00C136DF"/>
    <w:rsid w:val="00C17501"/>
    <w:rsid w:val="00C232C2"/>
    <w:rsid w:val="00C40627"/>
    <w:rsid w:val="00C43EAF"/>
    <w:rsid w:val="00C457C3"/>
    <w:rsid w:val="00C51507"/>
    <w:rsid w:val="00C644CA"/>
    <w:rsid w:val="00C658FC"/>
    <w:rsid w:val="00C73005"/>
    <w:rsid w:val="00C84FDC"/>
    <w:rsid w:val="00C85E18"/>
    <w:rsid w:val="00C96E9F"/>
    <w:rsid w:val="00CA35E3"/>
    <w:rsid w:val="00CA4A09"/>
    <w:rsid w:val="00CA4F06"/>
    <w:rsid w:val="00CC5A63"/>
    <w:rsid w:val="00CC787C"/>
    <w:rsid w:val="00CD1C49"/>
    <w:rsid w:val="00CF36C9"/>
    <w:rsid w:val="00D00EC4"/>
    <w:rsid w:val="00D12347"/>
    <w:rsid w:val="00D164C8"/>
    <w:rsid w:val="00D166AC"/>
    <w:rsid w:val="00D16C4C"/>
    <w:rsid w:val="00D20B6F"/>
    <w:rsid w:val="00D36BA2"/>
    <w:rsid w:val="00D37CF4"/>
    <w:rsid w:val="00D4487C"/>
    <w:rsid w:val="00D53ED6"/>
    <w:rsid w:val="00D5529C"/>
    <w:rsid w:val="00D5742C"/>
    <w:rsid w:val="00D63D33"/>
    <w:rsid w:val="00D73352"/>
    <w:rsid w:val="00D74EA4"/>
    <w:rsid w:val="00D84E46"/>
    <w:rsid w:val="00D935C3"/>
    <w:rsid w:val="00DA0266"/>
    <w:rsid w:val="00DA0F4B"/>
    <w:rsid w:val="00DA177E"/>
    <w:rsid w:val="00DA477E"/>
    <w:rsid w:val="00DB4BB0"/>
    <w:rsid w:val="00DC5698"/>
    <w:rsid w:val="00DD0C2F"/>
    <w:rsid w:val="00DD2231"/>
    <w:rsid w:val="00DE461D"/>
    <w:rsid w:val="00E04039"/>
    <w:rsid w:val="00E14608"/>
    <w:rsid w:val="00E15EBE"/>
    <w:rsid w:val="00E21808"/>
    <w:rsid w:val="00E21E67"/>
    <w:rsid w:val="00E30EBF"/>
    <w:rsid w:val="00E316C0"/>
    <w:rsid w:val="00E31E03"/>
    <w:rsid w:val="00E36598"/>
    <w:rsid w:val="00E424CB"/>
    <w:rsid w:val="00E51170"/>
    <w:rsid w:val="00E52D70"/>
    <w:rsid w:val="00E55534"/>
    <w:rsid w:val="00E565DC"/>
    <w:rsid w:val="00E7116D"/>
    <w:rsid w:val="00E72429"/>
    <w:rsid w:val="00E83680"/>
    <w:rsid w:val="00E914D1"/>
    <w:rsid w:val="00E960D8"/>
    <w:rsid w:val="00EB488E"/>
    <w:rsid w:val="00EB5FCA"/>
    <w:rsid w:val="00ED7F68"/>
    <w:rsid w:val="00EE22FB"/>
    <w:rsid w:val="00EF0974"/>
    <w:rsid w:val="00EF2575"/>
    <w:rsid w:val="00EF5828"/>
    <w:rsid w:val="00F048D4"/>
    <w:rsid w:val="00F124DE"/>
    <w:rsid w:val="00F207FE"/>
    <w:rsid w:val="00F20920"/>
    <w:rsid w:val="00F23212"/>
    <w:rsid w:val="00F24F21"/>
    <w:rsid w:val="00F33B16"/>
    <w:rsid w:val="00F353EA"/>
    <w:rsid w:val="00F36C27"/>
    <w:rsid w:val="00F43E7F"/>
    <w:rsid w:val="00F47987"/>
    <w:rsid w:val="00F56318"/>
    <w:rsid w:val="00F67C95"/>
    <w:rsid w:val="00F74540"/>
    <w:rsid w:val="00F75B79"/>
    <w:rsid w:val="00F82525"/>
    <w:rsid w:val="00F90A93"/>
    <w:rsid w:val="00F91AC4"/>
    <w:rsid w:val="00F91CA0"/>
    <w:rsid w:val="00F97FEA"/>
    <w:rsid w:val="00FA2DD8"/>
    <w:rsid w:val="00FA4D5C"/>
    <w:rsid w:val="00FA504B"/>
    <w:rsid w:val="00FB5CB4"/>
    <w:rsid w:val="00FB60E1"/>
    <w:rsid w:val="00FC00FB"/>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92318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rtgen-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mailto:PR@wirtgen-group.com" TargetMode="External"/><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youtu.be/WGDCDCW_Vx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svg"/><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1020</Words>
  <Characters>6430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2025-11-20T07:30:00Z</dcterms:created>
  <dcterms:modified xsi:type="dcterms:W3CDTF">2025-12-12T09:51:00Z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